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6"/>
        <w:gridCol w:w="4394"/>
      </w:tblGrid>
      <w:tr w14:paraId="53B39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896B7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分值构成</w:t>
            </w:r>
          </w:p>
          <w:p w14:paraId="5DC0E84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（总分100分）</w:t>
            </w:r>
          </w:p>
        </w:tc>
        <w:tc>
          <w:tcPr>
            <w:tcW w:w="6520" w:type="dxa"/>
            <w:gridSpan w:val="2"/>
            <w:tcBorders>
              <w:left w:val="single" w:color="auto" w:sz="4" w:space="0"/>
            </w:tcBorders>
            <w:vAlign w:val="center"/>
          </w:tcPr>
          <w:p w14:paraId="7A56BF64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服务方案：45分</w:t>
            </w:r>
          </w:p>
          <w:p w14:paraId="7500810E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企业能力：18分</w:t>
            </w:r>
          </w:p>
          <w:p w14:paraId="4119BAB8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人员配备：10分</w:t>
            </w:r>
          </w:p>
          <w:p w14:paraId="1586B01A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学术水平：3分</w:t>
            </w:r>
          </w:p>
          <w:p w14:paraId="34D510B0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类似业绩：10分</w:t>
            </w:r>
          </w:p>
          <w:p w14:paraId="3374353C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管理体系：4分</w:t>
            </w:r>
          </w:p>
          <w:p w14:paraId="2C8C61A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价格部分：10分</w:t>
            </w:r>
          </w:p>
        </w:tc>
      </w:tr>
      <w:tr w14:paraId="25102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E45D22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评分因素</w:t>
            </w:r>
          </w:p>
          <w:p w14:paraId="07B103B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及分值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 w14:paraId="49FB04E8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各评分因素细分项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vAlign w:val="center"/>
          </w:tcPr>
          <w:p w14:paraId="2FB6B7A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评分标准</w:t>
            </w:r>
          </w:p>
        </w:tc>
      </w:tr>
      <w:tr w14:paraId="2D7E6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01" w:type="dxa"/>
            <w:vMerge w:val="restart"/>
            <w:tcBorders>
              <w:left w:val="single" w:color="auto" w:sz="4" w:space="0"/>
            </w:tcBorders>
            <w:vAlign w:val="center"/>
          </w:tcPr>
          <w:p w14:paraId="49AF009D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F7CEF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服务方案</w:t>
            </w:r>
          </w:p>
          <w:p w14:paraId="7D468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（45分）</w:t>
            </w:r>
          </w:p>
          <w:p w14:paraId="20E57E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 w14:paraId="390D439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标本的收取、运输保管及保障措施</w:t>
            </w:r>
          </w:p>
          <w:p w14:paraId="26F54571"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（10分）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vAlign w:val="center"/>
          </w:tcPr>
          <w:p w14:paraId="393512E9">
            <w:pPr>
              <w:pStyle w:val="3"/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（1）标本的收取、运输保管流程规范、保障措施可行性强得10分；</w:t>
            </w:r>
          </w:p>
          <w:p w14:paraId="1C983D69">
            <w:pPr>
              <w:pStyle w:val="3"/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（2）标本的收取、运输保管流程较规范、保障措施可行性较强得9分；</w:t>
            </w:r>
          </w:p>
          <w:p w14:paraId="427D7758">
            <w:pPr>
              <w:pStyle w:val="3"/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（3）标本的收取、运输保管流程基本规范、保障措施可行性一般得8分；</w:t>
            </w:r>
          </w:p>
          <w:p w14:paraId="473E7D36">
            <w:pPr>
              <w:pStyle w:val="3"/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（4）标本的收取、运输保管流程不规范、保障措施可行性较差得7分；</w:t>
            </w:r>
          </w:p>
          <w:p w14:paraId="1080B917">
            <w:pPr>
              <w:pStyle w:val="3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（5）无标本的收取、运输保管及保障措施的得0分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 w14:paraId="46FF1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 w14:paraId="2E755C2E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 w14:paraId="4A847FF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检测检查项目及其检测检查方法</w:t>
            </w:r>
          </w:p>
          <w:p w14:paraId="56AC294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（15分）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vAlign w:val="center"/>
          </w:tcPr>
          <w:p w14:paraId="5DB566F1">
            <w:pPr>
              <w:pStyle w:val="3"/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（1）检测检查项目齐全、检测检查方法规范得15分；</w:t>
            </w:r>
          </w:p>
          <w:p w14:paraId="34F0192C">
            <w:pPr>
              <w:pStyle w:val="3"/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（2）检测检查项目较齐全、检测检查方法较规范得13分；</w:t>
            </w:r>
          </w:p>
          <w:p w14:paraId="0C89FAA1">
            <w:pPr>
              <w:pStyle w:val="3"/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（3）检测检查项目基本齐全、检测检查方法基本规范得11分；</w:t>
            </w:r>
          </w:p>
          <w:p w14:paraId="366056B5">
            <w:pPr>
              <w:pStyle w:val="3"/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（4）检测检查项目缺失严重、检测检查方法较不规范得9分；</w:t>
            </w:r>
          </w:p>
          <w:p w14:paraId="5F0DDB7D">
            <w:pPr>
              <w:pStyle w:val="3"/>
              <w:spacing w:after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（5）无检测检查项目及其检测检查方法得0分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 w14:paraId="47B8A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 w14:paraId="67B9564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 w14:paraId="1C77BDF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结果报告质量控制及其保障措施</w:t>
            </w:r>
          </w:p>
          <w:p w14:paraId="5C60357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（10分）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vAlign w:val="center"/>
          </w:tcPr>
          <w:p w14:paraId="38412CC2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（1）结果报告质量控制体系健全、保障措施可行性强得10分；</w:t>
            </w:r>
          </w:p>
          <w:p w14:paraId="5146FC29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（2）结果报告质量控制体系较健全、保障措施可行性较强得9分；</w:t>
            </w:r>
          </w:p>
          <w:p w14:paraId="555B9DB7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（3）结果报告质量控制体系基本健全、保障措施可行性一般得8分；</w:t>
            </w:r>
          </w:p>
          <w:p w14:paraId="5F33D6E3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（4）结果报告质量控制体系缺失严重、保障措施可行性差得7分；</w:t>
            </w:r>
          </w:p>
          <w:p w14:paraId="3FF7BA2A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（5）无结果报告质量控制体系和保障措施得0分。</w:t>
            </w:r>
          </w:p>
        </w:tc>
      </w:tr>
      <w:tr w14:paraId="61FDC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 w14:paraId="7BA17E2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 w14:paraId="28683B5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异常报告和报告异议处理流程及解决措施</w:t>
            </w:r>
          </w:p>
          <w:p w14:paraId="3FC7E5CE"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（5分）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vAlign w:val="center"/>
          </w:tcPr>
          <w:p w14:paraId="24584BFA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（1）异常报告和报告异议处理流程规范、解决措施恰当得5分；</w:t>
            </w:r>
          </w:p>
          <w:p w14:paraId="1FCC09BC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（2）异常报告和报告异议处理流程较规范、解决措施较恰当得4分；</w:t>
            </w:r>
          </w:p>
          <w:p w14:paraId="00D998B9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（3）异常报告和报告异议处理流程基本规范、解决措施基本恰当得3分；</w:t>
            </w:r>
          </w:p>
          <w:p w14:paraId="006132EA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（4）异常报告和报告异议处理流程规范性差、解决措施不当得2分；</w:t>
            </w:r>
          </w:p>
          <w:p w14:paraId="0E03661E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（5）无异常报告和报告异议处理流程及解决措施得0分。</w:t>
            </w:r>
          </w:p>
        </w:tc>
      </w:tr>
      <w:tr w14:paraId="48C13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 w14:paraId="005E16A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 w14:paraId="48E397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检验前培训服务方案及保障措施</w:t>
            </w:r>
          </w:p>
          <w:p w14:paraId="7A1753E8"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（5分）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vAlign w:val="center"/>
          </w:tcPr>
          <w:p w14:paraId="61DE047A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（1）培训服务方案规范、保障措施可行得5分；</w:t>
            </w:r>
          </w:p>
          <w:p w14:paraId="2974E80C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（2）培训服务方案较规范、保障措施较可行得4分；</w:t>
            </w:r>
          </w:p>
          <w:p w14:paraId="1505D3F7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（3）培训服务方案基本规范、保障措施基本可行得3分；</w:t>
            </w:r>
          </w:p>
          <w:p w14:paraId="7A171277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（4）培训服务方案规范性差、保障措施可行性差得2分；</w:t>
            </w:r>
          </w:p>
          <w:p w14:paraId="2819212E">
            <w:pPr>
              <w:pStyle w:val="2"/>
              <w:keepNext w:val="0"/>
              <w:keepLines w:val="0"/>
              <w:spacing w:before="0" w:after="0" w:line="240" w:lineRule="auto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（5）无培训服务方案及保障措施得0分。</w:t>
            </w:r>
          </w:p>
        </w:tc>
      </w:tr>
      <w:tr w14:paraId="23C72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988CC0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企业能力</w:t>
            </w:r>
          </w:p>
          <w:p w14:paraId="75F364E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（18分）</w:t>
            </w:r>
          </w:p>
        </w:tc>
        <w:tc>
          <w:tcPr>
            <w:tcW w:w="6520" w:type="dxa"/>
            <w:gridSpan w:val="2"/>
            <w:vAlign w:val="center"/>
          </w:tcPr>
          <w:p w14:paraId="7C891ED9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（1）投标人具有有效的检验ISO15189实验室认可证书得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分；</w:t>
            </w:r>
          </w:p>
          <w:p w14:paraId="55783835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）投标人具有有效的ISO17025实验室认可体系证书得2分；</w:t>
            </w:r>
          </w:p>
          <w:p w14:paraId="0460B657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）投标人具有处于有效期内的CMA计量认证证书的得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分。</w:t>
            </w:r>
          </w:p>
          <w:p w14:paraId="7DA61B56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）投标人自2020年以来，获得省临检中心或卫生部临检中心“室间质评证书”的得0.5分/个，本项最高得10分。</w:t>
            </w:r>
          </w:p>
          <w:p w14:paraId="2CD5F28C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注：需提供相关证书的原件扫描件。</w:t>
            </w:r>
            <w:bookmarkStart w:id="0" w:name="_GoBack"/>
            <w:bookmarkEnd w:id="0"/>
          </w:p>
        </w:tc>
      </w:tr>
      <w:tr w14:paraId="132C4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1775F6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人员配备</w:t>
            </w:r>
          </w:p>
          <w:p w14:paraId="629C0B3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（10分）</w:t>
            </w:r>
          </w:p>
        </w:tc>
        <w:tc>
          <w:tcPr>
            <w:tcW w:w="6520" w:type="dxa"/>
            <w:gridSpan w:val="2"/>
            <w:vAlign w:val="center"/>
          </w:tcPr>
          <w:p w14:paraId="1E42255E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（1）投标人具有卫生专业或医学专业高级以上职称人员的得1分/人；本项最高得5分（需提供职称证书原件扫描件）。</w:t>
            </w:r>
          </w:p>
          <w:p w14:paraId="1D9025A3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（2）投标人所属员工在医学会或专科分会任职的得1分/人；本项最高得5分（需提供医学会或专科分会聘用证书原件扫描件或官网查询截图）。</w:t>
            </w:r>
          </w:p>
          <w:p w14:paraId="07AB24F0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注：以上人员均需提供投标人为其缴纳的近一个月（或投标当月）的社保证明缴纳证明原件扫描件）；退休人员提供退休证和聘用合同。否则，该人员不予计分。</w:t>
            </w:r>
          </w:p>
        </w:tc>
      </w:tr>
      <w:tr w14:paraId="251D7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5E3E65B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学术水平</w:t>
            </w:r>
          </w:p>
          <w:p w14:paraId="25ECF96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（3分）</w:t>
            </w:r>
          </w:p>
        </w:tc>
        <w:tc>
          <w:tcPr>
            <w:tcW w:w="6520" w:type="dxa"/>
            <w:gridSpan w:val="2"/>
            <w:vAlign w:val="center"/>
          </w:tcPr>
          <w:p w14:paraId="1C0A4705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投标人20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年1月（发表日）以来，发表过与医学检验相关的SCI文章的得1分/篇，本项最高得3分（需提供包含论文发布媒介、发布时间、文章标题及作者的证明材料原件扫描件或官网查询截图）。</w:t>
            </w:r>
          </w:p>
        </w:tc>
      </w:tr>
      <w:tr w14:paraId="2C846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1426CB0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类似业绩</w:t>
            </w:r>
          </w:p>
          <w:p w14:paraId="414413D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（10分）</w:t>
            </w:r>
          </w:p>
        </w:tc>
        <w:tc>
          <w:tcPr>
            <w:tcW w:w="6520" w:type="dxa"/>
            <w:gridSpan w:val="2"/>
            <w:vAlign w:val="center"/>
          </w:tcPr>
          <w:p w14:paraId="4BA1037D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投标人自20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年1月1日（合同签订日）以来，承接过三级（含）以上医院检验检查外送服务项目的得0.5分/个，最多得10分（需提供合同原件扫描件和医院等级官方查询截图）。</w:t>
            </w:r>
          </w:p>
        </w:tc>
      </w:tr>
      <w:tr w14:paraId="78B81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13CE7B9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管理体系</w:t>
            </w:r>
          </w:p>
          <w:p w14:paraId="700523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（4分）</w:t>
            </w:r>
          </w:p>
        </w:tc>
        <w:tc>
          <w:tcPr>
            <w:tcW w:w="6520" w:type="dxa"/>
            <w:gridSpan w:val="2"/>
            <w:vAlign w:val="center"/>
          </w:tcPr>
          <w:p w14:paraId="35E65BD1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投标人具备有效期内的ISO9001质量管理体系认证证书、ISO14001环境管理体系认证证书、ISO45001职业健康安全管理体系认证证书、ISO27001信息安全管理体系认证证书的，每提供一份证书得1分，最多4分（需提供体系认证证书原件扫描件）。</w:t>
            </w:r>
          </w:p>
        </w:tc>
      </w:tr>
      <w:tr w14:paraId="50D9F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168AE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价格部分</w:t>
            </w:r>
          </w:p>
          <w:p w14:paraId="78A6D9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（10分）</w:t>
            </w:r>
          </w:p>
        </w:tc>
        <w:tc>
          <w:tcPr>
            <w:tcW w:w="6520" w:type="dxa"/>
            <w:gridSpan w:val="2"/>
            <w:vAlign w:val="center"/>
          </w:tcPr>
          <w:p w14:paraId="7997A90A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 xml:space="preserve">价格分采用低价优先法计算，即满足招标文件要求且投标价格最低的投标报价为评标基准价，其价格分为满分。其他投标人的价格分统一按照下列公式计算： </w:t>
            </w:r>
          </w:p>
          <w:p w14:paraId="12DF5F17">
            <w:pPr>
              <w:pStyle w:val="2"/>
              <w:keepNext w:val="0"/>
              <w:keepLines w:val="0"/>
              <w:spacing w:before="0" w:after="0" w:line="360" w:lineRule="exact"/>
              <w:ind w:firstLine="210"/>
              <w:rPr>
                <w:rFonts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投标报价得分=（评标基准价/投标报价）×10。</w:t>
            </w:r>
          </w:p>
          <w:p w14:paraId="4BF84179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注：</w:t>
            </w:r>
          </w:p>
          <w:p w14:paraId="2A0B23C5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（1）投标报价=1-优惠率；</w:t>
            </w:r>
          </w:p>
          <w:p w14:paraId="6E0EC288">
            <w:pPr>
              <w:pStyle w:val="2"/>
              <w:keepNext w:val="0"/>
              <w:keepLines w:val="0"/>
              <w:spacing w:before="0" w:after="0"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（2）对符合条件的小型企业或微型企业或残疾人福利性企业或监狱企业，以投标报价扣除10%后的价格计算评标基准价和投标报价。</w:t>
            </w:r>
          </w:p>
        </w:tc>
      </w:tr>
    </w:tbl>
    <w:p w14:paraId="7FA6FD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DJkZmUzZDcxNTMwZGM0YjkzYjU5NmFhYzMwZGQifQ=="/>
  </w:docVars>
  <w:rsids>
    <w:rsidRoot w:val="00000000"/>
    <w:rsid w:val="05C27852"/>
    <w:rsid w:val="10DB2AA6"/>
    <w:rsid w:val="4D97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spacing w:after="120"/>
    </w:pPr>
    <w:rPr>
      <w:rFonts w:ascii="Times New Roman" w:hAnsi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1700</Words>
  <Characters>1792</Characters>
  <Lines>0</Lines>
  <Paragraphs>0</Paragraphs>
  <TotalTime>0</TotalTime>
  <ScaleCrop>false</ScaleCrop>
  <LinksUpToDate>false</LinksUpToDate>
  <CharactersWithSpaces>1793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2024-08-15T07:45:00Z</dcterms:created>
  <dc:creator>ywk</dc:creator>
  <cp:lastModifiedBy>aquarius</cp:lastModifiedBy>
  <dcterms:modified xsi:type="dcterms:W3CDTF">2024-08-15T10:04:26Z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572995863684454C931037AC57B04D8F_12</vt:lpwstr>
  </property>
</Properties>
</file>